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napToGrid w:val="0"/>
        <w:spacing w:before="0" w:after="0" w:line="312" w:lineRule="auto"/>
        <w:ind w:leftChars="0"/>
        <w:jc w:val="center"/>
        <w:rPr>
          <w:rFonts w:hint="eastAsia" w:ascii="仿宋" w:hAnsi="仿宋" w:eastAsia="仿宋"/>
          <w:color w:val="auto"/>
          <w:szCs w:val="44"/>
          <w:highlight w:val="none"/>
        </w:rPr>
      </w:pPr>
      <w:bookmarkStart w:id="0" w:name="_Toc98682452"/>
      <w:r>
        <w:rPr>
          <w:rFonts w:hint="eastAsia" w:ascii="仿宋" w:hAnsi="仿宋" w:eastAsia="仿宋"/>
          <w:color w:val="auto"/>
          <w:szCs w:val="44"/>
          <w:highlight w:val="none"/>
        </w:rPr>
        <w:t>招 标 公 告</w:t>
      </w:r>
      <w:bookmarkEnd w:id="0"/>
    </w:p>
    <w:p>
      <w:pPr>
        <w:adjustRightInd w:val="0"/>
        <w:snapToGrid w:val="0"/>
        <w:spacing w:line="312" w:lineRule="auto"/>
        <w:rPr>
          <w:rFonts w:hint="eastAsia" w:ascii="仿宋" w:hAnsi="仿宋" w:eastAsia="仿宋"/>
          <w:b/>
          <w:sz w:val="24"/>
          <w:szCs w:val="24"/>
          <w:highlight w:val="none"/>
        </w:rPr>
      </w:pP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招标条件</w:t>
      </w:r>
      <w:r>
        <w:rPr>
          <w:rFonts w:ascii="仿宋" w:hAnsi="仿宋" w:eastAsia="仿宋"/>
          <w:highlight w:val="none"/>
        </w:rPr>
        <w:t xml:space="preserve"> 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本招标项目漕河泾开发区浦江高科技园D区环湖项目新建工程建筑和景观概念方案设计招标，招标人为上海临港浦江国际科技城发展有限公司、上海漕河泾开发区浦未建设发展有限公司，建设资金为国有资金，项目出资比例为</w:t>
      </w:r>
      <w:r>
        <w:rPr>
          <w:rFonts w:hint="eastAsia" w:ascii="仿宋" w:hAnsi="仿宋" w:eastAsia="仿宋" w:cs="宋体"/>
          <w:szCs w:val="21"/>
          <w:highlight w:val="none"/>
          <w:u w:val="single"/>
        </w:rPr>
        <w:t>100%</w:t>
      </w:r>
      <w:r>
        <w:rPr>
          <w:rFonts w:hint="eastAsia" w:ascii="仿宋" w:hAnsi="仿宋" w:eastAsia="仿宋" w:cs="宋体"/>
          <w:szCs w:val="21"/>
          <w:highlight w:val="none"/>
        </w:rPr>
        <w:t>。本项目</w:t>
      </w:r>
      <w:r>
        <w:rPr>
          <w:rStyle w:val="9"/>
          <w:rFonts w:hint="eastAsia" w:ascii="仿宋" w:hAnsi="仿宋" w:eastAsia="仿宋"/>
          <w:highlight w:val="none"/>
        </w:rPr>
        <w:t>现面向社会</w:t>
      </w:r>
      <w:r>
        <w:rPr>
          <w:rFonts w:hint="eastAsia" w:ascii="仿宋" w:hAnsi="仿宋" w:eastAsia="仿宋" w:cs="宋体"/>
          <w:szCs w:val="21"/>
          <w:highlight w:val="none"/>
        </w:rPr>
        <w:t>进行全过程公开招标。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项目概况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漕河泾开发区浦江高科技园D区环湖项目新建工程</w:t>
      </w:r>
      <w:r>
        <w:rPr>
          <w:rFonts w:ascii="仿宋" w:hAnsi="仿宋" w:eastAsia="仿宋"/>
          <w:highlight w:val="none"/>
        </w:rPr>
        <w:t>项目</w:t>
      </w:r>
      <w:r>
        <w:rPr>
          <w:rFonts w:hint="eastAsia" w:ascii="仿宋" w:hAnsi="仿宋" w:eastAsia="仿宋"/>
          <w:highlight w:val="none"/>
        </w:rPr>
        <w:t>位于上海浦江高科技园区西侧，用地范围东至三鲁河，南至立跃路，西至召楼路，北至周浦塘河，用地面积</w:t>
      </w:r>
      <w:r>
        <w:rPr>
          <w:rFonts w:hint="eastAsia" w:ascii="仿宋" w:hAnsi="仿宋" w:eastAsia="仿宋"/>
          <w:szCs w:val="21"/>
          <w:highlight w:val="none"/>
        </w:rPr>
        <w:t>198593m</w:t>
      </w:r>
      <w:r>
        <w:rPr>
          <w:rFonts w:hint="eastAsia" w:ascii="仿宋" w:hAnsi="仿宋" w:eastAsia="仿宋"/>
          <w:szCs w:val="21"/>
          <w:highlight w:val="none"/>
          <w:vertAlign w:val="superscript"/>
        </w:rPr>
        <w:t>2</w:t>
      </w:r>
      <w:r>
        <w:rPr>
          <w:rFonts w:hint="eastAsia" w:ascii="仿宋" w:hAnsi="仿宋" w:eastAsia="仿宋"/>
          <w:highlight w:val="none"/>
        </w:rPr>
        <w:t>，容积</w:t>
      </w:r>
      <w:r>
        <w:rPr>
          <w:rFonts w:hint="eastAsia" w:ascii="仿宋" w:hAnsi="仿宋" w:eastAsia="仿宋" w:cs="宋体"/>
          <w:szCs w:val="21"/>
          <w:highlight w:val="none"/>
        </w:rPr>
        <w:t>率1.3-2.0，建筑面积地上332395.3</w:t>
      </w:r>
      <w:r>
        <w:rPr>
          <w:rFonts w:hint="eastAsia" w:ascii="仿宋" w:hAnsi="仿宋" w:eastAsia="仿宋"/>
          <w:szCs w:val="21"/>
          <w:highlight w:val="none"/>
        </w:rPr>
        <w:t xml:space="preserve"> m</w:t>
      </w:r>
      <w:r>
        <w:rPr>
          <w:rFonts w:hint="eastAsia" w:ascii="仿宋" w:hAnsi="仿宋" w:eastAsia="仿宋"/>
          <w:szCs w:val="21"/>
          <w:highlight w:val="none"/>
          <w:vertAlign w:val="superscript"/>
        </w:rPr>
        <w:t>2</w:t>
      </w:r>
      <w:r>
        <w:rPr>
          <w:rFonts w:hint="eastAsia" w:ascii="仿宋" w:hAnsi="仿宋" w:eastAsia="仿宋" w:cs="宋体"/>
          <w:szCs w:val="21"/>
          <w:highlight w:val="none"/>
        </w:rPr>
        <w:t>，地下119700</w:t>
      </w:r>
      <w:r>
        <w:rPr>
          <w:rFonts w:hint="eastAsia" w:ascii="仿宋" w:hAnsi="仿宋" w:eastAsia="仿宋"/>
          <w:szCs w:val="21"/>
          <w:highlight w:val="none"/>
        </w:rPr>
        <w:t xml:space="preserve"> m</w:t>
      </w:r>
      <w:r>
        <w:rPr>
          <w:rFonts w:hint="eastAsia" w:ascii="仿宋" w:hAnsi="仿宋" w:eastAsia="仿宋"/>
          <w:szCs w:val="21"/>
          <w:highlight w:val="none"/>
          <w:vertAlign w:val="superscript"/>
        </w:rPr>
        <w:t>2</w:t>
      </w:r>
      <w:r>
        <w:rPr>
          <w:rFonts w:hint="eastAsia" w:ascii="仿宋" w:hAnsi="仿宋" w:eastAsia="仿宋" w:cs="宋体"/>
          <w:szCs w:val="21"/>
          <w:highlight w:val="none"/>
        </w:rPr>
        <w:t>，共计452095.3</w:t>
      </w:r>
      <w:r>
        <w:rPr>
          <w:rFonts w:hint="eastAsia" w:ascii="仿宋" w:hAnsi="仿宋" w:eastAsia="仿宋"/>
          <w:szCs w:val="21"/>
          <w:highlight w:val="none"/>
        </w:rPr>
        <w:t xml:space="preserve"> m</w:t>
      </w:r>
      <w:r>
        <w:rPr>
          <w:rFonts w:hint="eastAsia" w:ascii="仿宋" w:hAnsi="仿宋" w:eastAsia="仿宋"/>
          <w:szCs w:val="21"/>
          <w:highlight w:val="none"/>
          <w:vertAlign w:val="superscript"/>
        </w:rPr>
        <w:t>2</w:t>
      </w:r>
      <w:r>
        <w:rPr>
          <w:rFonts w:hint="eastAsia" w:ascii="仿宋" w:hAnsi="仿宋" w:eastAsia="仿宋" w:cs="宋体"/>
          <w:szCs w:val="21"/>
          <w:highlight w:val="none"/>
        </w:rPr>
        <w:t>，</w:t>
      </w:r>
      <w:r>
        <w:rPr>
          <w:rFonts w:hint="eastAsia" w:ascii="仿宋" w:hAnsi="仿宋" w:eastAsia="仿宋"/>
          <w:highlight w:val="none"/>
        </w:rPr>
        <w:t>项目投资总额：约38.5299亿，建安限额标准7523元/平方米。暂估景观设计面积6万平米（含绿化及铺装），建设标准800元/平米。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漕河泾开发区D区环湖项目新建工程，包含“漕河泾开发区浦江高科技园D地块工业厂房一期二标项目、漕河泾开发区浦江高科技园D地块工业厂房一期三标项目、漕河泾开发区浦江高科技园D地块工业厂房一期四标项目、漕河泾开发区浦江高科技园生命健康产业园二期C区项目。”将分四个工程进行开发建设，其中漕河泾开发区浦江高科技园D地块工业厂房一期二标项目开发主体为“科技城公司”，漕河泾开发区浦江高科技园D地块工业厂房一期三标项目、漕河泾开发区浦江高科技园D地块工业厂房一期四标项目、漕河泾开发区浦江高科技园生命健康产业园二期C区项目开发主体为“浦未公司”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本项目以“生命、健康、科技”为主题，以“大健康产业基地”、“康复护理中心”、“国际医学中心”为载体，通过“健康医疗大数据”驱动推动相关医学衍生产业的集聚和创新，打造立足上海、辐射长三角、全国领先的现代化医学科技城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主要类型为以厂房和研发为主。本次设计应在该园区其他地块已建产品的基础上有所突破，进一步优化产品，注重品牌形象，以适应市场的变化趋势，满足招商引资的需求。</w:t>
      </w:r>
    </w:p>
    <w:p>
      <w:pPr>
        <w:adjustRightInd w:val="0"/>
        <w:snapToGrid w:val="0"/>
        <w:spacing w:line="312" w:lineRule="auto"/>
        <w:ind w:firstLine="420" w:firstLineChars="200"/>
        <w:rPr>
          <w:rFonts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设计中应合理把握建筑尺度，注重生态景观建设，力求打造出更加完善、生态和人性化的高科技园区。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概念设计的主要工作为：本建设工程项目的</w:t>
      </w:r>
      <w:r>
        <w:rPr>
          <w:rFonts w:hint="eastAsia" w:ascii="华文仿宋" w:hAnsi="华文仿宋" w:eastAsia="华文仿宋" w:cs="华文仿宋"/>
          <w:szCs w:val="21"/>
          <w:highlight w:val="none"/>
        </w:rPr>
        <w:t>总体设计、施工图设计阶段的艺术督导在本次范围内。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预算及投标限价为：</w:t>
      </w:r>
      <w:r>
        <w:rPr>
          <w:rFonts w:hint="eastAsia" w:ascii="仿宋" w:hAnsi="仿宋" w:eastAsia="仿宋" w:cs="仿宋"/>
          <w:szCs w:val="21"/>
          <w:highlight w:val="none"/>
        </w:rPr>
        <w:t>6273.7695万元</w:t>
      </w:r>
      <w:r>
        <w:rPr>
          <w:rFonts w:hint="eastAsia" w:ascii="仿宋" w:hAnsi="仿宋" w:eastAsia="仿宋"/>
          <w:highlight w:val="none"/>
        </w:rPr>
        <w:t>；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设计周期：160周（建筑：124周；景观：36周）；</w:t>
      </w: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投标人资格要求</w:t>
      </w:r>
    </w:p>
    <w:p>
      <w:pPr>
        <w:adjustRightInd w:val="0"/>
        <w:snapToGrid w:val="0"/>
        <w:spacing w:line="312" w:lineRule="auto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3.1投标人必须具有独立法人资格；</w:t>
      </w:r>
    </w:p>
    <w:p>
      <w:pPr>
        <w:adjustRightInd w:val="0"/>
        <w:snapToGrid w:val="0"/>
        <w:spacing w:line="312" w:lineRule="auto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3.2投标人须具有类似项目经验，并在人员组成结构等方面具有相应的设计能力；</w:t>
      </w:r>
    </w:p>
    <w:p>
      <w:pPr>
        <w:adjustRightInd w:val="0"/>
        <w:snapToGrid w:val="0"/>
        <w:spacing w:line="312" w:lineRule="auto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3.3投标人若为国内设计院，必须具备工程设计建筑行业甲级资质。</w:t>
      </w:r>
    </w:p>
    <w:p>
      <w:pPr>
        <w:adjustRightInd w:val="0"/>
        <w:snapToGrid w:val="0"/>
        <w:spacing w:line="312" w:lineRule="auto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3.4本项目接受联合体投标。</w:t>
      </w:r>
    </w:p>
    <w:p>
      <w:pPr>
        <w:pStyle w:val="4"/>
        <w:snapToGrid w:val="0"/>
        <w:spacing w:line="312" w:lineRule="auto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招标文件的获取</w:t>
      </w:r>
      <w:r>
        <w:rPr>
          <w:rFonts w:ascii="仿宋" w:hAnsi="仿宋" w:eastAsia="仿宋"/>
          <w:highlight w:val="none"/>
        </w:rPr>
        <w:t xml:space="preserve"> </w:t>
      </w:r>
    </w:p>
    <w:p>
      <w:pPr>
        <w:adjustRightInd w:val="0"/>
        <w:snapToGrid w:val="0"/>
        <w:spacing w:line="312" w:lineRule="auto"/>
        <w:ind w:firstLine="422" w:firstLineChars="200"/>
        <w:rPr>
          <w:rFonts w:hint="eastAsia" w:ascii="仿宋" w:hAnsi="仿宋" w:eastAsia="仿宋" w:cs="宋体"/>
          <w:b/>
          <w:bCs/>
          <w:szCs w:val="21"/>
          <w:highlight w:val="none"/>
        </w:rPr>
      </w:pP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疫情期间为加强疫情防控，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凡有意参加并符合</w:t>
      </w:r>
      <w:r>
        <w:rPr>
          <w:rFonts w:ascii="仿宋" w:hAnsi="仿宋" w:eastAsia="仿宋" w:cs="宋体"/>
          <w:b/>
          <w:bCs/>
          <w:szCs w:val="21"/>
          <w:highlight w:val="none"/>
        </w:rPr>
        <w:t>合格投标人资格要求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，请于2022年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06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月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01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日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至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2022年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06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月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08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日（休息3日及以上的节假日除外）每日上午9：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0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0——1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：00，下午1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：00——16：00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发报名资料至邮箱：</w:t>
      </w:r>
      <w:r>
        <w:rPr>
          <w:rFonts w:hint="eastAsia" w:ascii="仿宋" w:hAnsi="仿宋" w:eastAsia="仿宋"/>
          <w:b/>
          <w:bCs/>
          <w:szCs w:val="21"/>
          <w:highlight w:val="none"/>
        </w:rPr>
        <w:t>421955372@qq.com</w:t>
      </w:r>
      <w:r>
        <w:rPr>
          <w:rFonts w:hint="eastAsia" w:ascii="仿宋" w:hAnsi="仿宋" w:eastAsia="仿宋"/>
          <w:b/>
          <w:bCs/>
          <w:szCs w:val="21"/>
          <w:highlight w:val="none"/>
          <w:lang w:val="en-US" w:eastAsia="zh-CN"/>
        </w:rPr>
        <w:t>进行审核工作并联系招标代理，审核通过的投标人可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领取</w:t>
      </w:r>
      <w:r>
        <w:rPr>
          <w:rFonts w:ascii="仿宋" w:hAnsi="仿宋" w:eastAsia="仿宋" w:cs="宋体"/>
          <w:b/>
          <w:bCs/>
          <w:szCs w:val="21"/>
          <w:highlight w:val="none"/>
        </w:rPr>
        <w:t>招标文件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。</w:t>
      </w:r>
    </w:p>
    <w:p>
      <w:pPr>
        <w:adjustRightInd w:val="0"/>
        <w:snapToGrid w:val="0"/>
        <w:spacing w:line="312" w:lineRule="auto"/>
        <w:ind w:firstLine="422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b/>
          <w:bCs/>
          <w:szCs w:val="21"/>
          <w:highlight w:val="none"/>
        </w:rPr>
        <w:t>获取招标文件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报名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资料：1、法定代表人授权委托书原件（加盖公章）以及被委托人身份证原件及复印件（加盖公章）；2、投标人具有相应设计能力的证明材料（加盖公章）。招标文件每套售价人民币：</w:t>
      </w:r>
      <w:r>
        <w:rPr>
          <w:rFonts w:hint="eastAsia" w:ascii="仿宋" w:hAnsi="仿宋" w:eastAsia="仿宋" w:cs="宋体"/>
          <w:b/>
          <w:bCs/>
          <w:szCs w:val="21"/>
          <w:highlight w:val="none"/>
          <w:u w:val="single"/>
        </w:rPr>
        <w:t xml:space="preserve">600 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元（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审核通过后转账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）。</w:t>
      </w: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投标文件（开标）的提交及相关事宜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b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投标文件提交的截止（开标时间）时间</w:t>
      </w:r>
      <w:r>
        <w:rPr>
          <w:rFonts w:ascii="仿宋" w:hAnsi="仿宋" w:eastAsia="仿宋" w:cs="宋体"/>
          <w:szCs w:val="21"/>
          <w:highlight w:val="none"/>
        </w:rPr>
        <w:t>(</w:t>
      </w:r>
      <w:r>
        <w:rPr>
          <w:rFonts w:hint="eastAsia" w:ascii="仿宋" w:hAnsi="仿宋" w:eastAsia="仿宋" w:cs="宋体"/>
          <w:szCs w:val="21"/>
          <w:highlight w:val="none"/>
        </w:rPr>
        <w:t>投标截止时间，下同</w:t>
      </w:r>
      <w:r>
        <w:rPr>
          <w:rFonts w:ascii="仿宋" w:hAnsi="仿宋" w:eastAsia="仿宋" w:cs="宋体"/>
          <w:szCs w:val="21"/>
          <w:highlight w:val="none"/>
        </w:rPr>
        <w:t>)</w:t>
      </w:r>
      <w:r>
        <w:rPr>
          <w:rFonts w:hint="eastAsia" w:ascii="仿宋" w:hAnsi="仿宋" w:eastAsia="仿宋" w:cs="宋体"/>
          <w:szCs w:val="21"/>
          <w:highlight w:val="none"/>
        </w:rPr>
        <w:t>为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 xml:space="preserve">2022 年 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06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 xml:space="preserve"> 月</w:t>
      </w:r>
      <w:r>
        <w:rPr>
          <w:rFonts w:hint="eastAsia" w:ascii="仿宋" w:hAnsi="仿宋" w:eastAsia="仿宋" w:cs="宋体"/>
          <w:b/>
          <w:bCs/>
          <w:szCs w:val="21"/>
          <w:highlight w:val="none"/>
          <w:lang w:val="en-US" w:eastAsia="zh-CN"/>
        </w:rPr>
        <w:t>21</w:t>
      </w:r>
      <w:r>
        <w:rPr>
          <w:rFonts w:hint="eastAsia" w:ascii="仿宋" w:hAnsi="仿宋" w:eastAsia="仿宋" w:cs="宋体"/>
          <w:b/>
          <w:bCs/>
          <w:szCs w:val="21"/>
          <w:highlight w:val="none"/>
        </w:rPr>
        <w:t>日13:30</w:t>
      </w:r>
      <w:r>
        <w:rPr>
          <w:rFonts w:hint="eastAsia" w:ascii="仿宋" w:hAnsi="仿宋" w:eastAsia="仿宋" w:cs="宋体"/>
          <w:szCs w:val="21"/>
          <w:highlight w:val="none"/>
        </w:rPr>
        <w:t>时，投标人应于投标截止时间前将投标文件提交至（即开标地址）</w:t>
      </w:r>
      <w:bookmarkStart w:id="1" w:name="_GoBack"/>
      <w:r>
        <w:rPr>
          <w:rFonts w:hint="eastAsia" w:ascii="仿宋" w:hAnsi="仿宋" w:eastAsia="仿宋"/>
          <w:b/>
          <w:bCs/>
          <w:szCs w:val="21"/>
          <w:highlight w:val="none"/>
        </w:rPr>
        <w:t>闵行区陈行公路2388号16号楼15楼会议室</w:t>
      </w:r>
      <w:bookmarkEnd w:id="1"/>
      <w:r>
        <w:rPr>
          <w:rFonts w:hint="eastAsia" w:ascii="仿宋" w:hAnsi="仿宋" w:eastAsia="仿宋" w:cs="宋体"/>
          <w:szCs w:val="21"/>
          <w:highlight w:val="none"/>
        </w:rPr>
        <w:t>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 w:cs="宋体"/>
          <w:szCs w:val="21"/>
          <w:highlight w:val="none"/>
        </w:rPr>
      </w:pPr>
      <w:r>
        <w:rPr>
          <w:rFonts w:hint="eastAsia" w:ascii="仿宋" w:hAnsi="仿宋" w:eastAsia="仿宋" w:cs="宋体"/>
          <w:szCs w:val="21"/>
          <w:highlight w:val="none"/>
        </w:rPr>
        <w:t>投标文件逾期送达的或者未送达指定地点的，招标人不予受理。</w:t>
      </w: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发布公告的媒介</w:t>
      </w:r>
    </w:p>
    <w:p>
      <w:pPr>
        <w:adjustRightInd w:val="0"/>
        <w:snapToGrid w:val="0"/>
        <w:spacing w:line="312" w:lineRule="auto"/>
        <w:jc w:val="left"/>
        <w:rPr>
          <w:rFonts w:hint="eastAsia" w:ascii="仿宋" w:hAnsi="仿宋" w:eastAsia="仿宋" w:cs="宋体"/>
          <w:spacing w:val="-8"/>
          <w:szCs w:val="21"/>
          <w:highlight w:val="none"/>
        </w:rPr>
      </w:pPr>
      <w:r>
        <w:rPr>
          <w:rFonts w:hint="eastAsia" w:ascii="仿宋" w:hAnsi="仿宋" w:eastAsia="仿宋" w:cs="宋体"/>
          <w:spacing w:val="-8"/>
          <w:szCs w:val="21"/>
          <w:highlight w:val="none"/>
        </w:rPr>
        <w:t>本次招标相关信息发布在中国招标投标公共服务平台即：“</w:t>
      </w:r>
      <w:r>
        <w:rPr>
          <w:rFonts w:ascii="仿宋" w:hAnsi="仿宋" w:eastAsia="仿宋" w:cs="宋体"/>
          <w:spacing w:val="-8"/>
          <w:szCs w:val="21"/>
          <w:highlight w:val="none"/>
        </w:rPr>
        <w:t>http://www.cebpubservice.com/</w:t>
      </w:r>
      <w:r>
        <w:rPr>
          <w:rFonts w:hint="eastAsia" w:ascii="仿宋" w:hAnsi="仿宋" w:eastAsia="仿宋" w:cs="宋体"/>
          <w:spacing w:val="-8"/>
          <w:szCs w:val="21"/>
          <w:highlight w:val="none"/>
        </w:rPr>
        <w:t>”上发布，同步在《临港浦江国际科技城》（pujiang.shlingang.com）上发布招标信息。</w:t>
      </w: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投诉方式：供应商投诉专用邮箱：CGTS@shlingang.com</w:t>
      </w:r>
    </w:p>
    <w:p>
      <w:pPr>
        <w:pStyle w:val="4"/>
        <w:snapToGrid w:val="0"/>
        <w:spacing w:line="312" w:lineRule="auto"/>
        <w:rPr>
          <w:rFonts w:hint="eastAsia"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联系方式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招标人：上海临港浦江国际科技城发展有限公司</w:t>
      </w:r>
    </w:p>
    <w:p>
      <w:pPr>
        <w:adjustRightInd w:val="0"/>
        <w:snapToGrid w:val="0"/>
        <w:spacing w:line="312" w:lineRule="auto"/>
        <w:ind w:firstLine="1260" w:firstLineChars="600"/>
        <w:rPr>
          <w:rFonts w:hint="eastAsia"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上海漕河泾开发区浦未建设发展有限公司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地    址：</w:t>
      </w:r>
      <w:r>
        <w:rPr>
          <w:rFonts w:hint="eastAsia" w:ascii="仿宋" w:hAnsi="仿宋" w:eastAsia="仿宋"/>
          <w:szCs w:val="21"/>
          <w:highlight w:val="none"/>
        </w:rPr>
        <w:t>闵行区陈行公路2388号16号楼15层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邮    编：</w:t>
      </w:r>
      <w:r>
        <w:rPr>
          <w:rFonts w:hint="eastAsia" w:ascii="仿宋" w:hAnsi="仿宋" w:eastAsia="仿宋"/>
          <w:szCs w:val="21"/>
          <w:highlight w:val="none"/>
        </w:rPr>
        <w:t>201114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联 系 人：</w:t>
      </w:r>
      <w:r>
        <w:rPr>
          <w:rFonts w:hint="eastAsia" w:ascii="仿宋" w:hAnsi="仿宋" w:eastAsia="仿宋"/>
          <w:szCs w:val="21"/>
          <w:highlight w:val="none"/>
        </w:rPr>
        <w:t>张老师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电    话：</w:t>
      </w:r>
      <w:r>
        <w:rPr>
          <w:rFonts w:hint="eastAsia" w:ascii="仿宋" w:hAnsi="仿宋" w:eastAsia="仿宋"/>
          <w:szCs w:val="21"/>
          <w:highlight w:val="none"/>
        </w:rPr>
        <w:t>18516754320</w:t>
      </w:r>
    </w:p>
    <w:p>
      <w:pPr>
        <w:adjustRightInd w:val="0"/>
        <w:snapToGrid w:val="0"/>
        <w:spacing w:line="312" w:lineRule="auto"/>
        <w:ind w:firstLine="422" w:firstLineChars="200"/>
        <w:rPr>
          <w:rFonts w:ascii="仿宋" w:hAnsi="仿宋" w:eastAsia="仿宋"/>
          <w:b/>
          <w:szCs w:val="21"/>
          <w:highlight w:val="none"/>
        </w:rPr>
      </w:pP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招标代理机构：上海亿越工程咨询有限公司</w:t>
      </w:r>
    </w:p>
    <w:p>
      <w:pPr>
        <w:adjustRightInd w:val="0"/>
        <w:snapToGrid w:val="0"/>
        <w:spacing w:line="312" w:lineRule="auto"/>
        <w:ind w:left="426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地    址：</w:t>
      </w:r>
      <w:r>
        <w:rPr>
          <w:rFonts w:hint="eastAsia" w:ascii="仿宋" w:hAnsi="仿宋" w:eastAsia="仿宋"/>
          <w:szCs w:val="21"/>
          <w:highlight w:val="none"/>
        </w:rPr>
        <w:t>黄浦区陆家浜路285号1603室</w:t>
      </w:r>
    </w:p>
    <w:p>
      <w:pPr>
        <w:adjustRightInd w:val="0"/>
        <w:snapToGrid w:val="0"/>
        <w:spacing w:line="312" w:lineRule="auto"/>
        <w:ind w:left="426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邮    编：</w:t>
      </w:r>
      <w:r>
        <w:rPr>
          <w:rFonts w:hint="eastAsia" w:ascii="仿宋" w:hAnsi="仿宋" w:eastAsia="仿宋"/>
          <w:szCs w:val="21"/>
          <w:highlight w:val="none"/>
        </w:rPr>
        <w:t>200011</w:t>
      </w:r>
    </w:p>
    <w:p>
      <w:pPr>
        <w:adjustRightInd w:val="0"/>
        <w:snapToGrid w:val="0"/>
        <w:spacing w:line="312" w:lineRule="auto"/>
        <w:ind w:left="426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联 系 人：</w:t>
      </w:r>
      <w:r>
        <w:rPr>
          <w:rFonts w:hint="eastAsia" w:ascii="仿宋" w:hAnsi="仿宋" w:eastAsia="仿宋"/>
          <w:szCs w:val="21"/>
          <w:highlight w:val="none"/>
        </w:rPr>
        <w:t>王海军</w:t>
      </w:r>
    </w:p>
    <w:p>
      <w:pPr>
        <w:adjustRightInd w:val="0"/>
        <w:snapToGrid w:val="0"/>
        <w:spacing w:line="312" w:lineRule="auto"/>
        <w:ind w:left="426"/>
        <w:rPr>
          <w:rFonts w:hint="eastAsia" w:ascii="仿宋" w:hAnsi="仿宋" w:eastAsia="仿宋"/>
          <w:szCs w:val="21"/>
          <w:highlight w:val="none"/>
        </w:rPr>
      </w:pPr>
      <w:r>
        <w:rPr>
          <w:rFonts w:ascii="仿宋" w:hAnsi="仿宋" w:eastAsia="仿宋"/>
          <w:szCs w:val="21"/>
          <w:highlight w:val="none"/>
        </w:rPr>
        <w:t>电    话：</w:t>
      </w:r>
      <w:r>
        <w:rPr>
          <w:rFonts w:hint="eastAsia" w:ascii="仿宋" w:hAnsi="仿宋" w:eastAsia="仿宋"/>
          <w:szCs w:val="21"/>
          <w:highlight w:val="none"/>
        </w:rPr>
        <w:t>021-63326976*802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邮箱：421955372@qq.com</w:t>
      </w:r>
    </w:p>
    <w:p>
      <w:pPr>
        <w:adjustRightInd w:val="0"/>
        <w:snapToGrid w:val="0"/>
        <w:spacing w:line="312" w:lineRule="auto"/>
        <w:rPr>
          <w:rFonts w:hint="eastAsia" w:ascii="仿宋" w:hAnsi="仿宋" w:eastAsia="仿宋"/>
          <w:szCs w:val="21"/>
          <w:highlight w:val="none"/>
          <w:u w:val="single"/>
        </w:rPr>
      </w:pPr>
    </w:p>
    <w:p>
      <w:pPr>
        <w:adjustRightInd w:val="0"/>
        <w:snapToGrid w:val="0"/>
        <w:spacing w:line="312" w:lineRule="auto"/>
        <w:ind w:left="126" w:leftChars="60" w:firstLine="4410" w:firstLineChars="2100"/>
        <w:jc w:val="right"/>
        <w:rPr>
          <w:rFonts w:hint="eastAsia" w:ascii="仿宋" w:hAnsi="仿宋" w:eastAsia="仿宋"/>
          <w:szCs w:val="21"/>
          <w:highlight w:val="none"/>
        </w:rPr>
      </w:pPr>
      <w:r>
        <w:rPr>
          <w:rFonts w:hint="eastAsia" w:ascii="仿宋" w:hAnsi="仿宋" w:eastAsia="仿宋"/>
          <w:szCs w:val="21"/>
          <w:highlight w:val="none"/>
        </w:rPr>
        <w:t>2022年</w:t>
      </w:r>
      <w:r>
        <w:rPr>
          <w:rFonts w:hint="eastAsia" w:ascii="仿宋" w:hAnsi="仿宋" w:eastAsia="仿宋"/>
          <w:szCs w:val="21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Cs w:val="21"/>
          <w:highlight w:val="none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250F8"/>
    <w:multiLevelType w:val="multilevel"/>
    <w:tmpl w:val="2FD250F8"/>
    <w:lvl w:ilvl="0" w:tentative="0">
      <w:start w:val="1"/>
      <w:numFmt w:val="decimal"/>
      <w:lvlText w:val="%1."/>
      <w:lvlJc w:val="left"/>
      <w:pPr>
        <w:tabs>
          <w:tab w:val="left" w:pos="646"/>
        </w:tabs>
        <w:ind w:left="42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pStyle w:val="4"/>
      <w:lvlText w:val="%7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C50477"/>
    <w:multiLevelType w:val="multilevel"/>
    <w:tmpl w:val="7BC50477"/>
    <w:lvl w:ilvl="0" w:tentative="0">
      <w:start w:val="1"/>
      <w:numFmt w:val="chineseCountingThousand"/>
      <w:pStyle w:val="3"/>
      <w:suff w:val="space"/>
      <w:lvlText w:val="第%1章"/>
      <w:lvlJc w:val="center"/>
      <w:pPr>
        <w:ind w:left="0" w:firstLine="0"/>
      </w:pPr>
      <w:rPr>
        <w:rFonts w:hint="eastAsia" w:ascii="仿宋" w:hAnsi="仿宋" w:eastAsia="仿宋"/>
        <w:b/>
        <w:i w:val="0"/>
        <w:sz w:val="44"/>
        <w:szCs w:val="36"/>
      </w:rPr>
    </w:lvl>
    <w:lvl w:ilvl="1" w:tentative="0">
      <w:start w:val="1"/>
      <w:numFmt w:val="chineseCountingThousand"/>
      <w:suff w:val="space"/>
      <w:lvlText w:val="%2."/>
      <w:lvlJc w:val="left"/>
      <w:pPr>
        <w:ind w:left="0" w:firstLine="0"/>
      </w:pPr>
      <w:rPr>
        <w:rFonts w:hint="default" w:ascii="仿宋" w:hAnsi="仿宋" w:eastAsia="仿宋"/>
        <w:b w:val="0"/>
        <w:i w:val="0"/>
        <w:sz w:val="24"/>
        <w:szCs w:val="21"/>
      </w:rPr>
    </w:lvl>
    <w:lvl w:ilvl="2" w:tentative="0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2.%3.%4"/>
      <w:lvlJc w:val="left"/>
      <w:pPr>
        <w:ind w:left="315" w:firstLine="0"/>
      </w:pPr>
      <w:rPr>
        <w:rFonts w:hint="default" w:ascii="Arial" w:hAnsi="Arial" w:eastAsia="宋体"/>
        <w:b w:val="0"/>
        <w:i w:val="0"/>
        <w:sz w:val="21"/>
        <w:szCs w:val="28"/>
      </w:rPr>
    </w:lvl>
    <w:lvl w:ilvl="4" w:tentative="0">
      <w:start w:val="1"/>
      <w:numFmt w:val="decimal"/>
      <w:suff w:val="space"/>
      <w:lvlText w:val="（%5）"/>
      <w:lvlJc w:val="left"/>
      <w:pPr>
        <w:ind w:left="3119" w:hanging="1134"/>
      </w:pPr>
      <w:rPr>
        <w:rFonts w:hint="default" w:ascii="Arial" w:hAnsi="Arial" w:eastAsia="宋体"/>
        <w:b w:val="0"/>
        <w:i w:val="0"/>
        <w:sz w:val="24"/>
        <w:szCs w:val="28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 w:ascii="黑体" w:eastAsia="黑体"/>
        <w:b w:val="0"/>
        <w:i w:val="0"/>
        <w:sz w:val="24"/>
      </w:rPr>
    </w:lvl>
    <w:lvl w:ilvl="6" w:tentative="0">
      <w:start w:val="1"/>
      <w:numFmt w:val="decimal"/>
      <w:lvlText w:val="    （%7）"/>
      <w:lvlJc w:val="left"/>
      <w:pPr>
        <w:tabs>
          <w:tab w:val="left" w:pos="0"/>
        </w:tabs>
        <w:ind w:left="1196" w:hanging="1196"/>
      </w:pPr>
      <w:rPr>
        <w:rFonts w:hint="eastAsia" w:ascii="黑体" w:eastAsia="黑体"/>
        <w:b w:val="0"/>
        <w:i w:val="0"/>
        <w:sz w:val="24"/>
      </w:rPr>
    </w:lvl>
    <w:lvl w:ilvl="7" w:tentative="0">
      <w:start w:val="1"/>
      <w:numFmt w:val="lowerLetter"/>
      <w:lvlText w:val="（%8）"/>
      <w:lvlJc w:val="left"/>
      <w:pPr>
        <w:tabs>
          <w:tab w:val="left" w:pos="0"/>
        </w:tabs>
        <w:ind w:left="1933" w:hanging="737"/>
      </w:pPr>
      <w:rPr>
        <w:rFonts w:hint="eastAsia" w:ascii="黑体" w:eastAsia="黑体"/>
        <w:b w:val="0"/>
        <w:i w:val="0"/>
        <w:sz w:val="24"/>
      </w:rPr>
    </w:lvl>
    <w:lvl w:ilvl="8" w:tentative="0">
      <w:start w:val="1"/>
      <w:numFmt w:val="lowerRoman"/>
      <w:lvlText w:val="（%9）"/>
      <w:lvlJc w:val="left"/>
      <w:pPr>
        <w:tabs>
          <w:tab w:val="left" w:pos="0"/>
        </w:tabs>
        <w:ind w:left="2670" w:hanging="737"/>
      </w:pPr>
      <w:rPr>
        <w:rFonts w:hint="eastAsia" w:ascii="黑体" w:eastAsia="黑体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adjustRightInd w:val="0"/>
      <w:spacing w:before="200" w:after="180" w:line="360" w:lineRule="atLeast"/>
      <w:jc w:val="center"/>
      <w:textAlignment w:val="baseline"/>
      <w:outlineLvl w:val="0"/>
    </w:pPr>
    <w:rPr>
      <w:rFonts w:eastAsia="黑体"/>
      <w:b/>
      <w:color w:val="000000"/>
      <w:kern w:val="44"/>
      <w:sz w:val="44"/>
    </w:rPr>
  </w:style>
  <w:style w:type="paragraph" w:styleId="4">
    <w:name w:val="heading 7"/>
    <w:basedOn w:val="1"/>
    <w:next w:val="1"/>
    <w:qFormat/>
    <w:uiPriority w:val="0"/>
    <w:pPr>
      <w:keepNext/>
      <w:keepLines/>
      <w:numPr>
        <w:ilvl w:val="6"/>
        <w:numId w:val="2"/>
      </w:numPr>
      <w:adjustRightInd w:val="0"/>
      <w:spacing w:line="360" w:lineRule="atLeast"/>
      <w:jc w:val="left"/>
      <w:textAlignment w:val="baseline"/>
      <w:outlineLvl w:val="6"/>
    </w:pPr>
    <w:rPr>
      <w:b/>
      <w:kern w:val="0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pacing w:after="60" w:line="360" w:lineRule="atLeast"/>
      <w:ind w:left="57" w:right="57"/>
      <w:jc w:val="center"/>
      <w:textAlignment w:val="baseline"/>
    </w:pPr>
    <w:rPr>
      <w:kern w:val="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样式 新宋体 小四"/>
    <w:qFormat/>
    <w:uiPriority w:val="0"/>
    <w:rPr>
      <w:rFonts w:ascii="新宋体" w:hAnsi="新宋体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2022-05-31T03:31:40Z</dcterms:created>
  <dc:creator>Administrator</dc:creator>
  <cp:lastModifiedBy>Administrator</cp:lastModifiedBy>
  <dcterms:modified xsi:type="dcterms:W3CDTF">2022-05-31T03:32:53Z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326CF6E632994057A2A606710EC7EF45</vt:lpwstr>
  </property>
</Properties>
</file>