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60" w:type="dxa"/>
        <w:jc w:val="center"/>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70"/>
        <w:gridCol w:w="3316"/>
        <w:gridCol w:w="1599"/>
        <w:gridCol w:w="3875"/>
      </w:tblGrid>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74" w:hRule="atLeast"/>
          <w:jc w:val="center"/>
        </w:trPr>
        <w:tc>
          <w:tcPr>
            <w:tcW w:w="0" w:type="auto"/>
            <w:gridSpan w:val="4"/>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jc w:val="center"/>
            </w:pPr>
            <w:r>
              <w:rPr>
                <w:rFonts w:hint="default"/>
                <w:b/>
                <w:bCs/>
                <w:lang w:val="en-US" w:eastAsia="zh-CN"/>
              </w:rPr>
              <w:t>资格预审公告</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74" w:hRule="atLeast"/>
          <w:jc w:val="center"/>
        </w:trPr>
        <w:tc>
          <w:tcPr>
            <w:tcW w:w="1465"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报建编号：</w:t>
            </w:r>
          </w:p>
        </w:tc>
        <w:tc>
          <w:tcPr>
            <w:tcW w:w="3464"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2202MH0306</w:t>
            </w:r>
          </w:p>
        </w:tc>
        <w:tc>
          <w:tcPr>
            <w:tcW w:w="1465"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标段号：</w:t>
            </w:r>
          </w:p>
        </w:tc>
        <w:tc>
          <w:tcPr>
            <w:tcW w:w="3466"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C02ZG001</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jc w:val="center"/>
        </w:trPr>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招标人：</w:t>
            </w:r>
          </w:p>
        </w:tc>
        <w:tc>
          <w:tcPr>
            <w:tcW w:w="3464"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上海临港浦江国际科技城发展有限公司,上海市基础工程集团有限公司</w:t>
            </w:r>
          </w:p>
        </w:tc>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招标人地址：</w:t>
            </w:r>
          </w:p>
        </w:tc>
        <w:tc>
          <w:tcPr>
            <w:tcW w:w="3466"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闵行区陈行公路2388号16号楼15楼,上海市杨浦区民星路231号</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招标人联系人：</w:t>
            </w:r>
          </w:p>
        </w:tc>
        <w:tc>
          <w:tcPr>
            <w:tcW w:w="3464"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张萌萌,吴骏</w:t>
            </w:r>
          </w:p>
        </w:tc>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招标人联系电话：</w:t>
            </w:r>
          </w:p>
        </w:tc>
        <w:tc>
          <w:tcPr>
            <w:tcW w:w="3466"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021-38295253,13636662718</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74" w:hRule="atLeast"/>
          <w:jc w:val="center"/>
        </w:trPr>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招标标段名称：</w:t>
            </w:r>
          </w:p>
        </w:tc>
        <w:tc>
          <w:tcPr>
            <w:tcW w:w="0" w:type="auto"/>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上海漕河泾开发区浦江高科技园生命健康产业园三期A区（除桩基）外立面工程</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3" w:hRule="atLeast"/>
          <w:jc w:val="center"/>
        </w:trPr>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建设地点：</w:t>
            </w:r>
          </w:p>
        </w:tc>
        <w:tc>
          <w:tcPr>
            <w:tcW w:w="0" w:type="auto"/>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闵行区浦江镇上海市闵行区绿洲环路450、480、500号（四至范围： 东至：绿洲环路 西至：新仁路 南至：建润路 北至：周浦塘）</w:t>
            </w:r>
          </w:p>
        </w:tc>
      </w:tr>
    </w:tbl>
    <w:p>
      <w:pPr>
        <w:rPr>
          <w:rFonts w:hint="default"/>
        </w:rPr>
      </w:pPr>
      <w:r>
        <w:rPr>
          <w:rFonts w:hint="default"/>
          <w:b/>
          <w:bCs/>
        </w:rPr>
        <w:t>工程规模描述</w:t>
      </w:r>
    </w:p>
    <w:tbl>
      <w:tblPr>
        <w:tblStyle w:val="3"/>
        <w:tblW w:w="9839" w:type="dxa"/>
        <w:jc w:val="center"/>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61"/>
        <w:gridCol w:w="7478"/>
      </w:tblGrid>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PrEx>
        <w:trPr>
          <w:trHeight w:val="1592" w:hRule="atLeast"/>
          <w:jc w:val="center"/>
        </w:trPr>
        <w:tc>
          <w:tcPr>
            <w:tcW w:w="2351"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工程概况描述：</w:t>
            </w:r>
          </w:p>
        </w:tc>
        <w:tc>
          <w:tcPr>
            <w:tcW w:w="0" w:type="auto"/>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新建4幢通用厂房，均为5层，建筑高度约24米，投产后拟招商生物医药和生命科学等产业企业。总建筑面积21536.2平米。本标段为幕墙工程施工，本工程幕墙总面积约16021.52m2，其中 WT-01 和 WT-02 为竖明横隐框架玻璃幕墙 ；WT-01 为铝合金框架玻璃幕墙系统；WT-02 为铝合金包钢立柱框架玻璃幕墙系统；WT-03 为铝合金格栅幕墙系统</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jc w:val="center"/>
        </w:trPr>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工程总投资：</w:t>
            </w:r>
          </w:p>
        </w:tc>
        <w:tc>
          <w:tcPr>
            <w:tcW w:w="0" w:type="auto"/>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22127万元人民币</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jc w:val="center"/>
        </w:trPr>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本标段建安工程费：</w:t>
            </w:r>
          </w:p>
        </w:tc>
        <w:tc>
          <w:tcPr>
            <w:tcW w:w="0" w:type="auto"/>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2584.6万元人民币</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jc w:val="center"/>
        </w:trPr>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是否设置最高投标限价：</w:t>
            </w:r>
          </w:p>
        </w:tc>
        <w:tc>
          <w:tcPr>
            <w:tcW w:w="0" w:type="auto"/>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设置最高投标限价，最高限价为25787810.73元人民币（2578.781073万元）</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jc w:val="center"/>
        </w:trPr>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施工工期：</w:t>
            </w:r>
          </w:p>
        </w:tc>
        <w:tc>
          <w:tcPr>
            <w:tcW w:w="0" w:type="auto"/>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150日历天。</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PrEx>
        <w:trPr>
          <w:trHeight w:val="446" w:hRule="atLeast"/>
          <w:jc w:val="center"/>
        </w:trPr>
        <w:tc>
          <w:tcPr>
            <w:tcW w:w="0" w:type="auto"/>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其他说明：</w:t>
            </w:r>
          </w:p>
        </w:tc>
        <w:tc>
          <w:tcPr>
            <w:tcW w:w="0" w:type="auto"/>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单体幕墙面积约为4000平方米</w:t>
            </w:r>
          </w:p>
        </w:tc>
      </w:tr>
    </w:tbl>
    <w:p>
      <w:pPr>
        <w:jc w:val="left"/>
        <w:rPr>
          <w:rFonts w:hint="default"/>
        </w:rPr>
      </w:pPr>
      <w:r>
        <w:rPr>
          <w:rFonts w:hint="default"/>
          <w:b/>
          <w:bCs/>
        </w:rPr>
        <w:t>资格预审申请条件</w:t>
      </w:r>
    </w:p>
    <w:tbl>
      <w:tblPr>
        <w:tblStyle w:val="3"/>
        <w:tblW w:w="9949" w:type="dxa"/>
        <w:jc w:val="center"/>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18"/>
        <w:gridCol w:w="3747"/>
        <w:gridCol w:w="1031"/>
        <w:gridCol w:w="3653"/>
      </w:tblGrid>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540"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资质要求：</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tbl>
            <w:tblPr>
              <w:tblStyle w:val="3"/>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60" w:type="dxa"/>
                <w:left w:w="60" w:type="dxa"/>
                <w:bottom w:w="60" w:type="dxa"/>
                <w:right w:w="60" w:type="dxa"/>
              </w:tblCellMar>
            </w:tblPr>
            <w:tblGrid>
              <w:gridCol w:w="2091"/>
              <w:gridCol w:w="62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60" w:type="dxa"/>
                  <w:left w:w="60" w:type="dxa"/>
                  <w:bottom w:w="60" w:type="dxa"/>
                  <w:right w:w="60" w:type="dxa"/>
                </w:tblCellMar>
              </w:tblPrEx>
              <w:trPr>
                <w:trHeight w:val="360" w:hRule="atLeast"/>
                <w:tblCellSpacing w:w="0" w:type="dxa"/>
              </w:trPr>
              <w:tc>
                <w:tcPr>
                  <w:tcW w:w="0" w:type="auto"/>
                  <w:gridSpan w:val="2"/>
                  <w:shd w:val="clear" w:color="auto" w:fill="auto"/>
                  <w:vAlign w:val="center"/>
                </w:tcPr>
                <w:p>
                  <w:pPr>
                    <w:jc w:val="center"/>
                  </w:pPr>
                  <w:r>
                    <w:rPr>
                      <w:b/>
                      <w:bCs/>
                      <w:lang w:val="en-US" w:eastAsia="zh-CN"/>
                    </w:rPr>
                    <w:t>施工资质要求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60" w:type="dxa"/>
                  <w:left w:w="60" w:type="dxa"/>
                  <w:bottom w:w="60" w:type="dxa"/>
                  <w:right w:w="60" w:type="dxa"/>
                </w:tblCellMar>
              </w:tblPrEx>
              <w:trPr>
                <w:trHeight w:val="360" w:hRule="atLeast"/>
                <w:tblCellSpacing w:w="0" w:type="dxa"/>
              </w:trPr>
              <w:tc>
                <w:tcPr>
                  <w:tcW w:w="1250" w:type="pct"/>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r>
                    <w:rPr>
                      <w:lang w:val="en-US" w:eastAsia="zh-CN"/>
                    </w:rPr>
                    <w:t>第一条</w:t>
                  </w:r>
                </w:p>
              </w:tc>
              <w:tc>
                <w:tcPr>
                  <w:tcW w:w="0" w:type="auto"/>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r>
                    <w:rPr>
                      <w:lang w:val="en-US" w:eastAsia="zh-CN"/>
                    </w:rPr>
                    <w:t>建筑幕墙工程施工专业承包二级及其以上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60" w:type="dxa"/>
                  <w:left w:w="60" w:type="dxa"/>
                  <w:bottom w:w="60" w:type="dxa"/>
                  <w:right w:w="60" w:type="dxa"/>
                </w:tblCellMar>
              </w:tblPrEx>
              <w:trPr>
                <w:trHeight w:val="360" w:hRule="atLeast"/>
                <w:tblCellSpacing w:w="0" w:type="dxa"/>
              </w:trPr>
              <w:tc>
                <w:tcPr>
                  <w:tcW w:w="0" w:type="auto"/>
                  <w:gridSpan w:val="2"/>
                  <w:shd w:val="clear" w:color="auto" w:fill="auto"/>
                  <w:vAlign w:val="center"/>
                </w:tcPr>
                <w:p>
                  <w:r>
                    <w:rPr>
                      <w:b/>
                      <w:bCs/>
                      <w:lang w:val="en-US" w:eastAsia="zh-CN"/>
                    </w:rPr>
                    <w:t>以上施工资质要求，投标人只要符合任何一条，但同一条中的多项资质要求需同时满足。</w:t>
                  </w:r>
                </w:p>
              </w:tc>
            </w:tr>
          </w:tbl>
          <w:p>
            <w:pPr>
              <w:rPr>
                <w:rFonts w:hint="default"/>
              </w:rPr>
            </w:pP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项目负责人资格：</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项目负责人必为申请人本单位的工作人员，持有中华人民共和国住房和城乡建设部颁发的中华人民共和国二级及以上建造师执业资格证书，注册专业须为建筑工程</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946"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业绩要求：</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申请人近五年(2018年10月1日起至今)，承接过至少1个合同额不低于1500万元的幕墙工程项目业绩(在建或已完成项目均可，以合同签订日期为准，申请人需在申请人情况表中填报企业业绩的基本信息，类似业绩中的项目编号如为本市项目在项目编号一栏填写合同报送编号，如为非本市项目按照全国建筑市场监管公共服务平台中的编号填写）</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信用分要求：</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根据上海市城乡建设和管理委员会发布的计算机信用评价体系计分，分值须大于等于60分。</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946"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其他要求：</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1. 具有控股和管理关系的上级公司和下级公司同时参加资格预审，招标人将接受下级公司为合格申请人。 2. 政府采购工程项目： 否 3. 其他：（1）提供有资质的会计师事务所或审计机构出具的完整的2020年度、2021年度、2022年度财务审计报告及财务报表复印件（包括汇总表、资产负债表、</w:t>
            </w:r>
            <w:bookmarkStart w:id="0" w:name="_GoBack"/>
            <w:bookmarkEnd w:id="0"/>
            <w:r>
              <w:rPr>
                <w:rFonts w:hint="default"/>
                <w:lang w:val="en-US" w:eastAsia="zh-CN"/>
              </w:rPr>
              <w:t>现金流量表、利润表），财务状况良好。 （2）信誉要求：企业信誉良好，近三年（2020年10月1日至今）企业信誉良好，未出现重大工程质量和安全事故不良记录，未处于破产清偿状态等内容。（如需）</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是否接受联合体投标：</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不接受联合体投标</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获取资格预审文件地址：</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通过上海市建设工程交易服务中心电子招标投标交易服务平台下载资格预审文件。</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获取资格预审文件时间：</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2023年11月29日 00时00分到2023年12月04日 00时00分(休息3日（含）以上的节假日除外)。</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946"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注意：</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1、获取资格预审文件成功后访问上海市建设工程交易服务中心网站（http://www.shcpe.cn），登录交易平台在"交易平台--投标项目管理"菜单中查询下载。</w:t>
            </w:r>
            <w:r>
              <w:rPr>
                <w:rFonts w:hint="default"/>
                <w:lang w:val="en-US" w:eastAsia="zh-CN"/>
              </w:rPr>
              <w:br w:type="textWrapping"/>
            </w:r>
            <w:r>
              <w:rPr>
                <w:rFonts w:hint="default"/>
                <w:lang w:val="en-US" w:eastAsia="zh-CN"/>
              </w:rPr>
              <w:t>2、潜在投标人或者其他利害关系人对资格预审文件有异议的，应当在提交资格预审申请文件截止时间2日前以书面署名形式向招标人提出；对招标文件有异议的，应当在投标截止时间10日前以书面署名形式向招标人提出。</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946"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招标代理机构：</w:t>
            </w:r>
          </w:p>
        </w:tc>
        <w:tc>
          <w:tcPr>
            <w:tcW w:w="3747"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上海中世建设咨询有限公司</w:t>
            </w:r>
          </w:p>
        </w:tc>
        <w:tc>
          <w:tcPr>
            <w:tcW w:w="1031"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联系电话：</w:t>
            </w:r>
          </w:p>
        </w:tc>
        <w:tc>
          <w:tcPr>
            <w:tcW w:w="3653"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16621369181</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644"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递交资格预审申请文件方式：</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在递交资格预审申请文件截止时间前，将电子资格预审申请文件上传至上海市建设工程交易服务中心电子招标投标交易平台</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644"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资格预审申请文件开启时间：</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2023年12月11日 09时30分</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644"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资格预审申请文件开启方式：</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是否远程开启资格预审申请文件、远程开标：是</w:t>
            </w:r>
            <w:r>
              <w:rPr>
                <w:rFonts w:hint="default"/>
                <w:lang w:val="en-US" w:eastAsia="zh-CN"/>
              </w:rPr>
              <w:br w:type="textWrapping"/>
            </w:r>
            <w:r>
              <w:rPr>
                <w:rFonts w:hint="default"/>
                <w:lang w:val="en-US" w:eastAsia="zh-CN"/>
              </w:rPr>
              <w:t>开启地点： 上海市建设工程交易服务中心电子招标投标交易服务平台（上海市建设工程交易服务中心官网：http://www.shcpe.cn）</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852"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通过资格预审者递交投标保证金：</w:t>
            </w:r>
          </w:p>
        </w:tc>
        <w:tc>
          <w:tcPr>
            <w:tcW w:w="3747"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设置投标保证金，投标保证金为20万元人民币</w:t>
            </w:r>
          </w:p>
        </w:tc>
        <w:tc>
          <w:tcPr>
            <w:tcW w:w="1031"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投标保证金的递交方式：</w:t>
            </w:r>
          </w:p>
        </w:tc>
        <w:tc>
          <w:tcPr>
            <w:tcW w:w="3653" w:type="dxa"/>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投标保函</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获取招标文件地址：</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通过上海市建设工程交易服务中心电子招标投标交易服务平台下载招标文件。</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获取招标文件时间：</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2023年12月22日 00时00分到2023年12月27日 00时00分(休息3日（含）以上的节假日除外)。</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递交投标文件截止时间：</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2024年01月12日 09时30分</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递交投标文件方式：</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在递交投标文件截止时间前，将电子投标文件上传至上海市建设工程交易服务中心电子招标投标交易平台</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644"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开标方式：</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是否远程开标：是</w:t>
            </w:r>
            <w:r>
              <w:rPr>
                <w:rFonts w:hint="default"/>
                <w:lang w:val="en-US" w:eastAsia="zh-CN"/>
              </w:rPr>
              <w:br w:type="textWrapping"/>
            </w:r>
            <w:r>
              <w:rPr>
                <w:rFonts w:hint="default"/>
                <w:lang w:val="en-US" w:eastAsia="zh-CN"/>
              </w:rPr>
              <w:t>开标地点：上海市建设工程交易服务中心电子招标投标交易服务平台（上海市建设工程交易服务中心官网：http://www.shcpe.cn）</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644"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同时发布本次资格预审公告的媒体名称：</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上海市公共资源交易服务平台、上海市住房和城乡建设管理委员会门户网站、上海市建设工程交易服务中心网站、www.etu365.com，本公告同时发布在临港浦江国际科技城（pujiang.shlingang.com）。</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监管部门：</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上海市闵行区建设和管理委员会</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258" w:hRule="atLeast"/>
          <w:jc w:val="center"/>
        </w:trPr>
        <w:tc>
          <w:tcPr>
            <w:tcW w:w="1518" w:type="dxa"/>
            <w:tcBorders>
              <w:top w:val="single" w:color="D5D5D5" w:sz="4" w:space="0"/>
              <w:left w:val="single" w:color="D5D5D5" w:sz="4" w:space="0"/>
              <w:bottom w:val="single" w:color="D5D5D5" w:sz="4" w:space="0"/>
              <w:right w:val="single" w:color="D5D5D5" w:sz="4" w:space="0"/>
            </w:tcBorders>
            <w:shd w:val="clear" w:color="auto" w:fill="F1F1F1"/>
            <w:tcMar>
              <w:left w:w="36" w:type="dxa"/>
            </w:tcMar>
            <w:vAlign w:val="center"/>
          </w:tcPr>
          <w:p>
            <w:pPr>
              <w:rPr>
                <w:rFonts w:hint="default"/>
              </w:rPr>
            </w:pPr>
            <w:r>
              <w:rPr>
                <w:rFonts w:hint="default"/>
                <w:lang w:val="en-US" w:eastAsia="zh-CN"/>
              </w:rPr>
              <w:t>备注：</w:t>
            </w:r>
          </w:p>
        </w:tc>
        <w:tc>
          <w:tcPr>
            <w:tcW w:w="8431" w:type="dxa"/>
            <w:gridSpan w:val="3"/>
            <w:tcBorders>
              <w:top w:val="single" w:color="D5D5D5" w:sz="4" w:space="0"/>
              <w:left w:val="single" w:color="D5D5D5" w:sz="4" w:space="0"/>
              <w:bottom w:val="single" w:color="D5D5D5" w:sz="4" w:space="0"/>
              <w:right w:val="single" w:color="D5D5D5" w:sz="4" w:space="0"/>
            </w:tcBorders>
            <w:shd w:val="clear" w:color="auto" w:fill="auto"/>
            <w:tcMar>
              <w:left w:w="36" w:type="dxa"/>
            </w:tcMar>
            <w:vAlign w:val="center"/>
          </w:tcPr>
          <w:p>
            <w:pPr>
              <w:rPr>
                <w:rFonts w:hint="default"/>
              </w:rPr>
            </w:pPr>
            <w:r>
              <w:rPr>
                <w:rFonts w:hint="default"/>
                <w:lang w:val="en-US" w:eastAsia="zh-CN"/>
              </w:rPr>
              <w:t>项目负责人必须完成个人身份采集，外省市申请人的项目负责人，必须完成进沪信息报送。 1、当提交资格预审申请文件的申请人＜7家时，则不再实施资格预审评审， 全部入围；当3≤通过资格预审的申请人≤7家，确定其全部入围。当通过资 格预审的申请人＞7家时，由招标人通过单位集体决策机制，在通过资格预 审的投标人中选取7家的投标人入围。 2、投标单位在施工投标时拟派的注册建造师必须与本项目资格预审申请文 件中所注明的注册建造师一致，不得更换。 3、通过资格预审的申请人，同一集团公司下属所有公司同时通过不得超过 2家，如超过2家则由招标人集体决策。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YTM5MWExMzRjODM2NWJkOWVkZTU3ZWRkY2Q4ZDkifQ=="/>
  </w:docVars>
  <w:rsids>
    <w:rsidRoot w:val="1C0B3A5D"/>
    <w:rsid w:val="168C2EF2"/>
    <w:rsid w:val="1C0B3A5D"/>
    <w:rsid w:val="2F74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2023-11-28T04:24:00Z</dcterms:created>
  <dc:creator>笑尘劳</dc:creator>
  <cp:lastModifiedBy>笑尘劳</cp:lastModifiedBy>
  <dcterms:modified xsi:type="dcterms:W3CDTF">2023-11-28T04:30:02Z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2E4970F757AF49A68A823D3FECF82FD1_11</vt:lpwstr>
  </property>
</Properties>
</file>